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8"/>
          <w:szCs w:val="28"/>
          <w:u w:val="single" w:color="000000"/>
        </w:rPr>
      </w:pPr>
      <w:r w:rsidRPr="00BD6737">
        <w:rPr>
          <w:rFonts w:ascii="Verdana" w:hAnsi="Verdana" w:cs="Verdana"/>
          <w:b/>
          <w:bCs/>
          <w:color w:val="000000"/>
          <w:sz w:val="28"/>
          <w:szCs w:val="28"/>
          <w:u w:val="single" w:color="000000"/>
        </w:rPr>
        <w:t>IB Geography HL Case Studies</w:t>
      </w:r>
      <w:r w:rsidR="00BD6737" w:rsidRPr="00BD6737">
        <w:rPr>
          <w:noProof/>
        </w:rPr>
        <w:t xml:space="preserve">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</w:pPr>
      <w:bookmarkStart w:id="0" w:name="_GoBack"/>
      <w:bookmarkEnd w:id="0"/>
      <w:r w:rsidRPr="00BD6737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t>Options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Option A Freshwater:</w:t>
      </w:r>
    </w:p>
    <w:p w:rsidR="009264D2" w:rsidRPr="00BD6737" w:rsidRDefault="009264D2" w:rsidP="009264D2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Drainage basin hydrology and geomorphology </w:t>
      </w:r>
    </w:p>
    <w:p w:rsidR="009264D2" w:rsidRPr="00BD6737" w:rsidRDefault="009264D2" w:rsidP="009264D2">
      <w:pPr>
        <w:numPr>
          <w:ilvl w:val="0"/>
          <w:numId w:val="1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Flooding and flood mitigation </w:t>
      </w:r>
    </w:p>
    <w:p w:rsidR="00BD6737" w:rsidRPr="00BD6737" w:rsidRDefault="00BD6737" w:rsidP="00BD6737">
      <w:pPr>
        <w:tabs>
          <w:tab w:val="left" w:pos="20"/>
          <w:tab w:val="left" w:pos="392"/>
        </w:tabs>
        <w:autoSpaceDE w:val="0"/>
        <w:autoSpaceDN w:val="0"/>
        <w:adjustRightInd w:val="0"/>
        <w:ind w:left="39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Three Gorge Dam </w:t>
      </w:r>
    </w:p>
    <w:p w:rsidR="009264D2" w:rsidRPr="00BD6737" w:rsidRDefault="009264D2" w:rsidP="009264D2">
      <w:pPr>
        <w:numPr>
          <w:ilvl w:val="1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Two contrasting detailed examples of flood mitigation of drainage basins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Three Gorges Dam and Pakistan Floods 2010</w:t>
      </w:r>
    </w:p>
    <w:p w:rsidR="009264D2" w:rsidRPr="00BD6737" w:rsidRDefault="009264D2" w:rsidP="009264D2">
      <w:pPr>
        <w:numPr>
          <w:ilvl w:val="0"/>
          <w:numId w:val="2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Water scarcity and water quality</w:t>
      </w:r>
    </w:p>
    <w:p w:rsidR="009264D2" w:rsidRPr="00BD6737" w:rsidRDefault="009264D2" w:rsidP="009264D2">
      <w:pPr>
        <w:numPr>
          <w:ilvl w:val="1"/>
          <w:numId w:val="2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Detailed examples to illustrate the role of different stakeholders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 xml:space="preserve">California – public, government and farmers,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ab/>
        <w:t>Drought in Somalia and the role of humanitarian</w:t>
      </w:r>
      <w:r w:rsidRPr="00BD6737">
        <w:rPr>
          <w:rFonts w:ascii="Verdana" w:hAnsi="Verdana" w:cs="Verdana"/>
          <w:color w:val="FF0000"/>
          <w:u w:color="000000"/>
        </w:rPr>
        <w:t xml:space="preserve"> organizations?</w:t>
      </w:r>
      <w:r w:rsidRPr="00BD6737">
        <w:rPr>
          <w:rFonts w:ascii="Verdana" w:hAnsi="Verdana" w:cs="Verdana"/>
          <w:color w:val="FF0000"/>
          <w:u w:color="000000"/>
        </w:rPr>
        <w:t xml:space="preserve"> or the Nile River Basin? </w:t>
      </w:r>
    </w:p>
    <w:p w:rsidR="009264D2" w:rsidRPr="00BD6737" w:rsidRDefault="009264D2" w:rsidP="009264D2">
      <w:pPr>
        <w:numPr>
          <w:ilvl w:val="1"/>
          <w:numId w:val="3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one internationally shared water resource and the role of different stakeholders in attempting to find a resolution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Nile: Egypt, Sudan + Ethiopia</w:t>
      </w:r>
      <w:r w:rsidRPr="00BD6737">
        <w:rPr>
          <w:rFonts w:ascii="Verdana" w:hAnsi="Verdana" w:cs="Verdana"/>
          <w:color w:val="FF0000"/>
          <w:u w:color="000000"/>
        </w:rPr>
        <w:t xml:space="preserve"> +The Colorado River</w:t>
      </w:r>
    </w:p>
    <w:p w:rsidR="009264D2" w:rsidRPr="00BD6737" w:rsidRDefault="009264D2" w:rsidP="009264D2">
      <w:pPr>
        <w:numPr>
          <w:ilvl w:val="0"/>
          <w:numId w:val="4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Water management futures</w:t>
      </w:r>
    </w:p>
    <w:p w:rsidR="009264D2" w:rsidRPr="00BD6737" w:rsidRDefault="009264D2" w:rsidP="009264D2">
      <w:pPr>
        <w:numPr>
          <w:ilvl w:val="1"/>
          <w:numId w:val="4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contemporary dam building expansion in one major drainage basin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Three Gorges Dam</w:t>
      </w:r>
      <w:r w:rsidRPr="00BD6737">
        <w:rPr>
          <w:rFonts w:ascii="Verdana" w:hAnsi="Verdana" w:cs="Verdana"/>
          <w:color w:val="FF0000"/>
          <w:u w:color="000000"/>
        </w:rPr>
        <w:t>+The Colorado River</w:t>
      </w:r>
    </w:p>
    <w:p w:rsidR="009264D2" w:rsidRPr="00BD6737" w:rsidRDefault="009264D2" w:rsidP="009264D2">
      <w:pPr>
        <w:numPr>
          <w:ilvl w:val="1"/>
          <w:numId w:val="5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one recent IDBM plan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Three Gorges Dam</w:t>
      </w:r>
    </w:p>
    <w:p w:rsidR="009264D2" w:rsidRPr="00BD6737" w:rsidRDefault="009264D2" w:rsidP="009264D2">
      <w:pPr>
        <w:numPr>
          <w:ilvl w:val="1"/>
          <w:numId w:val="6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the future possibilities for one wetland area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Kissimmee River Restoration Project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Option D Geographical Hazards:</w:t>
      </w:r>
    </w:p>
    <w:p w:rsidR="009264D2" w:rsidRPr="00BD6737" w:rsidRDefault="009264D2" w:rsidP="009264D2">
      <w:pPr>
        <w:rPr>
          <w:rFonts w:ascii="Times New Roman" w:eastAsia="Times New Roman" w:hAnsi="Times New Roman" w:cs="Times New Roman"/>
        </w:rPr>
      </w:pPr>
      <w:r w:rsidRPr="00BD6737">
        <w:rPr>
          <w:rFonts w:ascii="Verdana" w:hAnsi="Verdana" w:cs="Verdana"/>
          <w:color w:val="FF0000"/>
          <w:u w:color="000000"/>
        </w:rPr>
        <w:t>Volcanoes Montserrat vs Eyjafjallajökull 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Earthquakes: Japan vs New Zealand Christchurch Earthquakes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Mass Movement Events: Nepal Gorkha 2015/Leyte Island Philippines 2006</w:t>
      </w:r>
    </w:p>
    <w:p w:rsidR="009264D2" w:rsidRPr="00BD6737" w:rsidRDefault="009264D2" w:rsidP="009264D2">
      <w:pPr>
        <w:numPr>
          <w:ilvl w:val="0"/>
          <w:numId w:val="7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Geophysical systems</w:t>
      </w:r>
    </w:p>
    <w:p w:rsidR="009264D2" w:rsidRPr="00BD6737" w:rsidRDefault="009264D2" w:rsidP="009264D2">
      <w:pPr>
        <w:numPr>
          <w:ilvl w:val="0"/>
          <w:numId w:val="7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Geophysical hazard risks</w:t>
      </w:r>
    </w:p>
    <w:p w:rsidR="009264D2" w:rsidRPr="00BD6737" w:rsidRDefault="009264D2" w:rsidP="009264D2">
      <w:pPr>
        <w:numPr>
          <w:ilvl w:val="0"/>
          <w:numId w:val="7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Hazard risk and vulnerability</w:t>
      </w:r>
    </w:p>
    <w:p w:rsidR="009264D2" w:rsidRPr="00BD6737" w:rsidRDefault="009264D2" w:rsidP="009264D2">
      <w:pPr>
        <w:numPr>
          <w:ilvl w:val="1"/>
          <w:numId w:val="7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Two contemporary contrasting case studies each for volcanic hazards, earthquake hazards and mass movement hazards (see guidance above)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For each geophysical hazard type, the case studies should develop knowledge and understanding of: </w:t>
      </w:r>
    </w:p>
    <w:p w:rsidR="009264D2" w:rsidRPr="00BD6737" w:rsidRDefault="009264D2" w:rsidP="009264D2">
      <w:pPr>
        <w:numPr>
          <w:ilvl w:val="3"/>
          <w:numId w:val="8"/>
        </w:numPr>
        <w:tabs>
          <w:tab w:val="left" w:pos="720"/>
          <w:tab w:val="left" w:pos="981"/>
        </w:tabs>
        <w:autoSpaceDE w:val="0"/>
        <w:autoSpaceDN w:val="0"/>
        <w:adjustRightInd w:val="0"/>
        <w:ind w:left="981" w:hanging="982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geophysical hazard event profiles, including any secondary hazards – varied impacts of these hazards on different aspects of human well-being </w:t>
      </w:r>
    </w:p>
    <w:p w:rsidR="009264D2" w:rsidRPr="00BD6737" w:rsidRDefault="009264D2" w:rsidP="009264D2">
      <w:pPr>
        <w:numPr>
          <w:ilvl w:val="3"/>
          <w:numId w:val="8"/>
        </w:numPr>
        <w:tabs>
          <w:tab w:val="left" w:pos="720"/>
          <w:tab w:val="left" w:pos="981"/>
        </w:tabs>
        <w:autoSpaceDE w:val="0"/>
        <w:autoSpaceDN w:val="0"/>
        <w:adjustRightInd w:val="0"/>
        <w:ind w:left="981" w:hanging="982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why levels of vulnerability varied both between and within communities, including spatial variations in hazard perception, personal knowledge and preparedness</w:t>
      </w:r>
      <w:r w:rsidRPr="00BD6737">
        <w:rPr>
          <w:rFonts w:ascii="Verdana" w:hAnsi="Verdana" w:cs="Verdana"/>
          <w:color w:val="000000"/>
          <w:u w:color="000000"/>
        </w:rPr>
        <w:t xml:space="preserve"> </w:t>
      </w:r>
    </w:p>
    <w:p w:rsidR="009264D2" w:rsidRPr="00BD6737" w:rsidRDefault="009264D2" w:rsidP="009264D2">
      <w:pPr>
        <w:numPr>
          <w:ilvl w:val="0"/>
          <w:numId w:val="9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Future resilience and adaptation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lastRenderedPageBreak/>
        <w:t xml:space="preserve">Option G: Urban environments </w:t>
      </w:r>
    </w:p>
    <w:p w:rsidR="009264D2" w:rsidRPr="00BD6737" w:rsidRDefault="009264D2" w:rsidP="009264D2">
      <w:pPr>
        <w:numPr>
          <w:ilvl w:val="0"/>
          <w:numId w:val="10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The variety of urban environments </w:t>
      </w:r>
    </w:p>
    <w:p w:rsidR="009264D2" w:rsidRPr="00BD6737" w:rsidRDefault="009264D2" w:rsidP="009264D2">
      <w:pPr>
        <w:numPr>
          <w:ilvl w:val="0"/>
          <w:numId w:val="10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Changing urban systems </w:t>
      </w:r>
    </w:p>
    <w:p w:rsidR="009264D2" w:rsidRPr="00BD6737" w:rsidRDefault="009264D2" w:rsidP="009264D2">
      <w:pPr>
        <w:tabs>
          <w:tab w:val="left" w:pos="20"/>
          <w:tab w:val="left" w:pos="392"/>
        </w:tabs>
        <w:autoSpaceDE w:val="0"/>
        <w:autoSpaceDN w:val="0"/>
        <w:adjustRightInd w:val="0"/>
        <w:ind w:left="39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Hoyt Model/Burgees Model/Bid rent Model</w:t>
      </w:r>
    </w:p>
    <w:p w:rsidR="009264D2" w:rsidRPr="00BD6737" w:rsidRDefault="009264D2" w:rsidP="009264D2">
      <w:pPr>
        <w:numPr>
          <w:ilvl w:val="1"/>
          <w:numId w:val="10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Case study of infrastructure growth over time in one city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Manchester and Liverpool </w:t>
      </w:r>
    </w:p>
    <w:p w:rsidR="009264D2" w:rsidRPr="00BD6737" w:rsidRDefault="009264D2" w:rsidP="009264D2">
      <w:pPr>
        <w:numPr>
          <w:ilvl w:val="0"/>
          <w:numId w:val="11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 Urban environmental and social stresses </w:t>
      </w:r>
    </w:p>
    <w:p w:rsidR="009264D2" w:rsidRPr="00BD6737" w:rsidRDefault="009264D2" w:rsidP="009264D2">
      <w:pPr>
        <w:numPr>
          <w:ilvl w:val="1"/>
          <w:numId w:val="11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air pollution in one city and its varying impact on people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Linfen, China</w:t>
      </w:r>
    </w:p>
    <w:p w:rsidR="009264D2" w:rsidRPr="00BD6737" w:rsidRDefault="009264D2" w:rsidP="009264D2">
      <w:pPr>
        <w:numPr>
          <w:ilvl w:val="1"/>
          <w:numId w:val="12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Traffic congestion patterns, trends and impacts in one city and the management response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London, UK</w:t>
      </w:r>
    </w:p>
    <w:p w:rsidR="009264D2" w:rsidRPr="00BD6737" w:rsidRDefault="009264D2" w:rsidP="009264D2">
      <w:pPr>
        <w:numPr>
          <w:ilvl w:val="1"/>
          <w:numId w:val="13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Contested land use changes, including slum clearances, urban redevelopment and the depletion of green space: Detailed contrasting examples of two affected </w:t>
      </w:r>
      <w:r w:rsidR="004466DD" w:rsidRPr="00BD6737">
        <w:rPr>
          <w:rFonts w:ascii="Verdana" w:hAnsi="Verdana" w:cs="Verdana"/>
          <w:iCs/>
          <w:color w:val="000000"/>
          <w:u w:color="000000"/>
        </w:rPr>
        <w:t>neighborhoods</w:t>
      </w:r>
      <w:r w:rsidRPr="00BD6737">
        <w:rPr>
          <w:rFonts w:ascii="Verdana" w:hAnsi="Verdana" w:cs="Verdana"/>
          <w:iCs/>
          <w:color w:val="000000"/>
          <w:u w:color="000000"/>
        </w:rPr>
        <w:t xml:space="preserve"> and their populations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Detroit and Rio de Janeiro (slum clearance)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Lack of Greenspace (Paris)</w:t>
      </w:r>
    </w:p>
    <w:p w:rsidR="009264D2" w:rsidRPr="00BD6737" w:rsidRDefault="009264D2" w:rsidP="009264D2">
      <w:pPr>
        <w:numPr>
          <w:ilvl w:val="0"/>
          <w:numId w:val="14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Building sustainable urban systems for the future </w:t>
      </w:r>
    </w:p>
    <w:p w:rsidR="009264D2" w:rsidRPr="00BD6737" w:rsidRDefault="009264D2" w:rsidP="009264D2">
      <w:pPr>
        <w:numPr>
          <w:ilvl w:val="1"/>
          <w:numId w:val="14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Resilient city design, including strategies to manage escalating climatic and geopolitical risks to urban areas: Two detailed examples to illustrate possible strategies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Detroit Afforestation and Hong Kong</w:t>
      </w:r>
    </w:p>
    <w:p w:rsidR="009264D2" w:rsidRPr="00BD6737" w:rsidRDefault="009264D2" w:rsidP="009264D2">
      <w:pPr>
        <w:numPr>
          <w:ilvl w:val="1"/>
          <w:numId w:val="15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Eco city design, including strategies to manage the urban ecological footprint: Two detailed examples to illustrate possible environmental strategies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Masdar, UAE and B</w:t>
      </w:r>
      <w:r w:rsidRPr="00BD6737">
        <w:rPr>
          <w:rFonts w:ascii="Verdana" w:hAnsi="Verdana" w:cs="Verdana"/>
          <w:color w:val="FF0000"/>
          <w:u w:color="000000"/>
        </w:rPr>
        <w:t>EDZ</w:t>
      </w:r>
      <w:r w:rsidRPr="00BD6737">
        <w:rPr>
          <w:rFonts w:ascii="Verdana" w:hAnsi="Verdana" w:cs="Verdana"/>
          <w:color w:val="FF0000"/>
          <w:u w:color="000000"/>
        </w:rPr>
        <w:t>ED, London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 w:themeColor="text1"/>
          <w:u w:color="000000"/>
        </w:rPr>
      </w:pPr>
      <w:r w:rsidRPr="00BD6737">
        <w:rPr>
          <w:rFonts w:ascii="Verdana" w:hAnsi="Verdana" w:cs="Verdana"/>
          <w:color w:val="000000" w:themeColor="text1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16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proofErr w:type="spellStart"/>
      <w:r w:rsidRPr="00BD6737">
        <w:rPr>
          <w:rFonts w:ascii="Verdana" w:hAnsi="Verdana" w:cs="Verdana"/>
          <w:color w:val="FF0000"/>
          <w:u w:color="000000"/>
        </w:rPr>
        <w:t>Borås</w:t>
      </w:r>
      <w:proofErr w:type="spellEnd"/>
      <w:r w:rsidRPr="00BD6737">
        <w:rPr>
          <w:rFonts w:ascii="Verdana" w:hAnsi="Verdana" w:cs="Verdana"/>
          <w:color w:val="FF0000"/>
          <w:u w:color="000000"/>
        </w:rPr>
        <w:t>, thermal energy-store</w:t>
      </w:r>
    </w:p>
    <w:p w:rsidR="009264D2" w:rsidRPr="00BD6737" w:rsidRDefault="009264D2" w:rsidP="009264D2">
      <w:pPr>
        <w:numPr>
          <w:ilvl w:val="2"/>
          <w:numId w:val="16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Paris heatwave 2003</w:t>
      </w:r>
    </w:p>
    <w:p w:rsidR="009264D2" w:rsidRPr="00BD6737" w:rsidRDefault="009264D2" w:rsidP="009264D2">
      <w:pPr>
        <w:numPr>
          <w:ilvl w:val="2"/>
          <w:numId w:val="16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London, Tokyo, Shanghai and Mexico City as megacities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</w:pPr>
      <w:r w:rsidRPr="00BD6737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br w:type="page"/>
      </w:r>
      <w:r w:rsidRPr="00BD6737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lastRenderedPageBreak/>
        <w:t>SL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Unit 1 Changing Population</w:t>
      </w:r>
    </w:p>
    <w:p w:rsidR="009264D2" w:rsidRPr="00BD6737" w:rsidRDefault="009264D2" w:rsidP="009264D2">
      <w:pPr>
        <w:numPr>
          <w:ilvl w:val="0"/>
          <w:numId w:val="17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Population and economic development patterns</w:t>
      </w:r>
    </w:p>
    <w:p w:rsidR="009264D2" w:rsidRPr="00BD6737" w:rsidRDefault="009264D2" w:rsidP="009264D2">
      <w:pPr>
        <w:numPr>
          <w:ilvl w:val="1"/>
          <w:numId w:val="17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Two detailed and contrasting examples of uneven population distribution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Brazil and </w:t>
      </w:r>
      <w:r w:rsidRPr="00BD6737">
        <w:rPr>
          <w:rFonts w:ascii="Verdana" w:hAnsi="Verdana" w:cs="Verdana"/>
          <w:iCs/>
          <w:color w:val="FF0000"/>
          <w:u w:color="000000"/>
        </w:rPr>
        <w:t>(Australia and Bangladesh)</w:t>
      </w:r>
    </w:p>
    <w:p w:rsidR="009264D2" w:rsidRPr="00BD6737" w:rsidRDefault="009264D2" w:rsidP="009264D2">
      <w:pPr>
        <w:numPr>
          <w:ilvl w:val="0"/>
          <w:numId w:val="18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Changing populations and places </w:t>
      </w:r>
    </w:p>
    <w:p w:rsidR="009264D2" w:rsidRPr="00BD6737" w:rsidRDefault="009264D2" w:rsidP="009264D2">
      <w:pPr>
        <w:numPr>
          <w:ilvl w:val="1"/>
          <w:numId w:val="18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Population change and demographic transition over time, including natural increase, fertility rate, life expectancy, population structure and dependency ratios: Detailed examples of two or more contrasting countries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UK: </w:t>
      </w:r>
      <w:r w:rsidRPr="00BD6737">
        <w:rPr>
          <w:rFonts w:ascii="Verdana" w:hAnsi="Verdana" w:cs="Verdana"/>
          <w:color w:val="FF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ab/>
        <w:t xml:space="preserve">demographic transition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Russia: </w:t>
      </w:r>
      <w:r w:rsidRPr="00BD6737">
        <w:rPr>
          <w:rFonts w:ascii="Verdana" w:hAnsi="Verdana" w:cs="Verdana"/>
          <w:color w:val="FF0000"/>
          <w:u w:color="000000"/>
        </w:rPr>
        <w:tab/>
        <w:t>population decline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Kenya: </w:t>
      </w:r>
      <w:r w:rsidRPr="00BD6737">
        <w:rPr>
          <w:rFonts w:ascii="Verdana" w:hAnsi="Verdana" w:cs="Verdana"/>
          <w:color w:val="FF0000"/>
          <w:u w:color="000000"/>
        </w:rPr>
        <w:tab/>
        <w:t xml:space="preserve">high rate of population growth + large proportion of young </w:t>
      </w:r>
      <w:r w:rsidRPr="00BD6737">
        <w:rPr>
          <w:rFonts w:ascii="Verdana" w:hAnsi="Verdana" w:cs="Verdana"/>
          <w:color w:val="FF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ab/>
        <w:t>dependents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Japan: </w:t>
      </w:r>
      <w:r w:rsidRPr="00BD6737">
        <w:rPr>
          <w:rFonts w:ascii="Verdana" w:hAnsi="Verdana" w:cs="Verdana"/>
          <w:color w:val="FF0000"/>
          <w:u w:color="000000"/>
        </w:rPr>
        <w:tab/>
        <w:t>ageing population</w:t>
      </w:r>
    </w:p>
    <w:p w:rsidR="009264D2" w:rsidRPr="00BD6737" w:rsidRDefault="009264D2" w:rsidP="009264D2">
      <w:pPr>
        <w:numPr>
          <w:ilvl w:val="1"/>
          <w:numId w:val="19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The consequences of megacity growth for individuals and societies: One case study of a contemporary megacity experiencing rapid growth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 xml:space="preserve">Dhaka, Bangladesh or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ab/>
        <w:t>Mumbai, India</w:t>
      </w:r>
    </w:p>
    <w:p w:rsidR="009264D2" w:rsidRPr="00BD6737" w:rsidRDefault="009264D2" w:rsidP="009264D2">
      <w:pPr>
        <w:numPr>
          <w:ilvl w:val="1"/>
          <w:numId w:val="20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Detailed examples of two or more forced movements, to include environmental and political push factors, and consequences for people and places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FF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Syria and Xingu people</w:t>
      </w:r>
      <w:r w:rsidRPr="00BD6737">
        <w:rPr>
          <w:rFonts w:ascii="Verdana" w:hAnsi="Verdana" w:cs="Verdana"/>
          <w:color w:val="000000"/>
          <w:u w:color="000000"/>
        </w:rPr>
        <w:t xml:space="preserve">, </w:t>
      </w:r>
      <w:r w:rsidRPr="00BD6737">
        <w:rPr>
          <w:rFonts w:ascii="Verdana" w:hAnsi="Verdana" w:cs="Verdana"/>
          <w:color w:val="FF0000"/>
          <w:u w:color="000000"/>
        </w:rPr>
        <w:t xml:space="preserve">Chinese displaced due to Three Gorges </w:t>
      </w:r>
      <w:r w:rsidRPr="00BD6737">
        <w:rPr>
          <w:rFonts w:ascii="Verdana" w:hAnsi="Verdana" w:cs="Verdana"/>
          <w:color w:val="FF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ab/>
        <w:t>Dam</w:t>
      </w:r>
      <w:r w:rsidR="004466DD" w:rsidRPr="00BD6737">
        <w:rPr>
          <w:rFonts w:ascii="Verdana" w:hAnsi="Verdana" w:cs="Verdana"/>
          <w:color w:val="FF0000"/>
          <w:u w:color="000000"/>
        </w:rPr>
        <w:t>/Afghanistan</w:t>
      </w:r>
    </w:p>
    <w:p w:rsidR="009264D2" w:rsidRPr="00BD6737" w:rsidRDefault="009264D2" w:rsidP="009264D2">
      <w:pPr>
        <w:numPr>
          <w:ilvl w:val="0"/>
          <w:numId w:val="21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Challenges and opportunities </w:t>
      </w:r>
    </w:p>
    <w:p w:rsidR="009264D2" w:rsidRPr="00BD6737" w:rsidRDefault="009264D2" w:rsidP="009264D2">
      <w:pPr>
        <w:numPr>
          <w:ilvl w:val="1"/>
          <w:numId w:val="21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One case study of a country benefiting from a demographic dividend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South Korea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22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China One-child policy</w:t>
      </w:r>
    </w:p>
    <w:p w:rsidR="009264D2" w:rsidRPr="00BD6737" w:rsidRDefault="009264D2" w:rsidP="009264D2">
      <w:pPr>
        <w:numPr>
          <w:ilvl w:val="2"/>
          <w:numId w:val="22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Iran population policies</w:t>
      </w:r>
    </w:p>
    <w:p w:rsidR="009264D2" w:rsidRPr="00BD6737" w:rsidRDefault="009264D2" w:rsidP="009264D2">
      <w:pPr>
        <w:numPr>
          <w:ilvl w:val="2"/>
          <w:numId w:val="22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France Pro-natalist policy</w:t>
      </w:r>
    </w:p>
    <w:p w:rsidR="009264D2" w:rsidRPr="00BD6737" w:rsidRDefault="009264D2" w:rsidP="009264D2">
      <w:pPr>
        <w:numPr>
          <w:ilvl w:val="2"/>
          <w:numId w:val="22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Mexico-USA international (and circular) migration</w:t>
      </w:r>
    </w:p>
    <w:p w:rsidR="009264D2" w:rsidRPr="00BD6737" w:rsidRDefault="009264D2" w:rsidP="009264D2">
      <w:pPr>
        <w:numPr>
          <w:ilvl w:val="2"/>
          <w:numId w:val="22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Internal migration UK (from Cornwall to London/SE), Bangladesh (rural-urban to Dhaka) and Brazil (periphery to core (SE industrial triangle)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lastRenderedPageBreak/>
        <w:t>Unit 2 Global Climate – vulnerability and resilience</w:t>
      </w:r>
    </w:p>
    <w:p w:rsidR="009264D2" w:rsidRPr="00BD6737" w:rsidRDefault="009264D2" w:rsidP="009264D2">
      <w:pPr>
        <w:numPr>
          <w:ilvl w:val="0"/>
          <w:numId w:val="23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Causes of global climate change </w:t>
      </w:r>
    </w:p>
    <w:p w:rsidR="004466DD" w:rsidRPr="00BD6737" w:rsidRDefault="009264D2" w:rsidP="009264D2">
      <w:pPr>
        <w:numPr>
          <w:ilvl w:val="0"/>
          <w:numId w:val="23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Consequences of global climate change</w:t>
      </w:r>
    </w:p>
    <w:p w:rsidR="009264D2" w:rsidRPr="00BD6737" w:rsidRDefault="004466DD" w:rsidP="004466DD">
      <w:pPr>
        <w:tabs>
          <w:tab w:val="left" w:pos="20"/>
          <w:tab w:val="left" w:pos="294"/>
        </w:tabs>
        <w:autoSpaceDE w:val="0"/>
        <w:autoSpaceDN w:val="0"/>
        <w:adjustRightInd w:val="0"/>
        <w:ind w:left="294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Arctic trade routes + Desertification China+ Antarctica</w:t>
      </w:r>
    </w:p>
    <w:p w:rsidR="009264D2" w:rsidRPr="00BD6737" w:rsidRDefault="009264D2" w:rsidP="009264D2">
      <w:pPr>
        <w:numPr>
          <w:ilvl w:val="0"/>
          <w:numId w:val="23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Responding to global climate change </w:t>
      </w:r>
    </w:p>
    <w:p w:rsidR="004466DD" w:rsidRPr="00BD6737" w:rsidRDefault="004466DD" w:rsidP="004466DD">
      <w:pPr>
        <w:tabs>
          <w:tab w:val="left" w:pos="20"/>
          <w:tab w:val="left" w:pos="294"/>
        </w:tabs>
        <w:autoSpaceDE w:val="0"/>
        <w:autoSpaceDN w:val="0"/>
        <w:adjustRightInd w:val="0"/>
        <w:ind w:left="294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Al Gore/Paris Climate Conference/Kyoto/SDG’s</w:t>
      </w:r>
    </w:p>
    <w:p w:rsidR="009264D2" w:rsidRPr="00BD6737" w:rsidRDefault="009264D2" w:rsidP="009264D2">
      <w:pPr>
        <w:numPr>
          <w:ilvl w:val="1"/>
          <w:numId w:val="23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Disparities in exposure to climate change risk and vulnerability, including variations in people’s location, wealth, social differences (age, gender, education), risk perception: Detailed examples of two or more societies with contrasting vulnerability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UK, London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Somalia vs California drought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Xingu people of the Amazon Basin</w:t>
      </w:r>
    </w:p>
    <w:p w:rsidR="009264D2" w:rsidRPr="00BD6737" w:rsidRDefault="009264D2" w:rsidP="009264D2">
      <w:pPr>
        <w:numPr>
          <w:ilvl w:val="1"/>
          <w:numId w:val="24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Case study of the response to climate change in one country focusing on the actions of non-governmental stakeholders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UK: reduce, reuse and recycling initiatives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val="single"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Unit 3 Global Resource consumption and security</w:t>
      </w:r>
    </w:p>
    <w:p w:rsidR="009264D2" w:rsidRPr="00BD6737" w:rsidRDefault="009264D2" w:rsidP="009264D2">
      <w:pPr>
        <w:numPr>
          <w:ilvl w:val="0"/>
          <w:numId w:val="25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Global Trends in consumption</w:t>
      </w:r>
    </w:p>
    <w:p w:rsidR="009264D2" w:rsidRPr="00BD6737" w:rsidRDefault="009264D2" w:rsidP="009264D2">
      <w:pPr>
        <w:numPr>
          <w:ilvl w:val="0"/>
          <w:numId w:val="25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Impacts of changing trends in resource consumption</w:t>
      </w:r>
    </w:p>
    <w:p w:rsidR="009264D2" w:rsidRPr="00BD6737" w:rsidRDefault="009264D2" w:rsidP="009264D2">
      <w:pPr>
        <w:numPr>
          <w:ilvl w:val="1"/>
          <w:numId w:val="25"/>
        </w:numPr>
        <w:tabs>
          <w:tab w:val="left" w:pos="360"/>
          <w:tab w:val="left" w:pos="752"/>
        </w:tabs>
        <w:autoSpaceDE w:val="0"/>
        <w:autoSpaceDN w:val="0"/>
        <w:adjustRightInd w:val="0"/>
        <w:ind w:left="752" w:hanging="753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The implications of global climate change for the water–food–energy nexus: Detailed examples of two countries with contrasting levels of resource security.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Canada vs India </w:t>
      </w:r>
    </w:p>
    <w:p w:rsidR="009264D2" w:rsidRPr="00BD6737" w:rsidRDefault="009264D2" w:rsidP="009264D2">
      <w:pPr>
        <w:numPr>
          <w:ilvl w:val="0"/>
          <w:numId w:val="26"/>
        </w:numPr>
        <w:tabs>
          <w:tab w:val="left" w:pos="20"/>
          <w:tab w:val="left" w:pos="392"/>
        </w:tabs>
        <w:autoSpaceDE w:val="0"/>
        <w:autoSpaceDN w:val="0"/>
        <w:adjustRightInd w:val="0"/>
        <w:ind w:left="392" w:hanging="393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Resource stewardship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27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Racial inequality in the USA</w:t>
      </w:r>
    </w:p>
    <w:p w:rsidR="009264D2" w:rsidRPr="00BD6737" w:rsidRDefault="009264D2" w:rsidP="009264D2">
      <w:pPr>
        <w:numPr>
          <w:ilvl w:val="2"/>
          <w:numId w:val="27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Resource </w:t>
      </w:r>
      <w:r w:rsidR="004466DD" w:rsidRPr="00BD6737">
        <w:rPr>
          <w:rFonts w:ascii="Verdana" w:hAnsi="Verdana" w:cs="Verdana"/>
          <w:color w:val="FF0000"/>
          <w:u w:color="000000"/>
        </w:rPr>
        <w:t>nationalization</w:t>
      </w:r>
      <w:r w:rsidRPr="00BD6737">
        <w:rPr>
          <w:rFonts w:ascii="Verdana" w:hAnsi="Verdana" w:cs="Verdana"/>
          <w:color w:val="FF0000"/>
          <w:u w:color="000000"/>
        </w:rPr>
        <w:t xml:space="preserve"> Bolivia</w:t>
      </w:r>
    </w:p>
    <w:p w:rsidR="009264D2" w:rsidRPr="00BD6737" w:rsidRDefault="009264D2" w:rsidP="009264D2">
      <w:pPr>
        <w:numPr>
          <w:ilvl w:val="2"/>
          <w:numId w:val="27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reduce, re-use and recycle initiatives in the UK</w:t>
      </w:r>
    </w:p>
    <w:p w:rsidR="009264D2" w:rsidRPr="00BD6737" w:rsidRDefault="009264D2" w:rsidP="009264D2">
      <w:pPr>
        <w:numPr>
          <w:ilvl w:val="2"/>
          <w:numId w:val="27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  <w:lang w:val="de-DE"/>
        </w:rPr>
      </w:pPr>
      <w:r w:rsidRPr="00BD6737">
        <w:rPr>
          <w:rFonts w:ascii="Verdana" w:hAnsi="Verdana" w:cs="Verdana"/>
          <w:color w:val="FF0000"/>
          <w:u w:color="000000"/>
          <w:lang w:val="de-DE"/>
        </w:rPr>
        <w:t>Agbogbloshie, Ghana: E-</w:t>
      </w:r>
      <w:proofErr w:type="spellStart"/>
      <w:r w:rsidRPr="00BD6737">
        <w:rPr>
          <w:rFonts w:ascii="Verdana" w:hAnsi="Verdana" w:cs="Verdana"/>
          <w:color w:val="FF0000"/>
          <w:u w:color="000000"/>
          <w:lang w:val="de-DE"/>
        </w:rPr>
        <w:t>wast</w:t>
      </w:r>
      <w:r w:rsidR="004466DD" w:rsidRPr="00BD6737">
        <w:rPr>
          <w:rFonts w:ascii="Verdana" w:hAnsi="Verdana" w:cs="Verdana"/>
          <w:color w:val="FF0000"/>
          <w:u w:color="000000"/>
          <w:lang w:val="de-DE"/>
        </w:rPr>
        <w:t>e</w:t>
      </w:r>
      <w:proofErr w:type="spellEnd"/>
      <w:r w:rsidRPr="00BD6737">
        <w:rPr>
          <w:rFonts w:ascii="Verdana" w:hAnsi="Verdana" w:cs="Verdana"/>
          <w:color w:val="FF0000"/>
          <w:u w:color="000000"/>
          <w:lang w:val="de-DE"/>
        </w:rPr>
        <w:t xml:space="preserve"> </w:t>
      </w:r>
      <w:proofErr w:type="spellStart"/>
      <w:r w:rsidRPr="00BD6737">
        <w:rPr>
          <w:rFonts w:ascii="Verdana" w:hAnsi="Verdana" w:cs="Verdana"/>
          <w:color w:val="FF0000"/>
          <w:u w:color="000000"/>
          <w:lang w:val="de-DE"/>
        </w:rPr>
        <w:t>dump</w:t>
      </w:r>
      <w:proofErr w:type="spellEnd"/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  <w:lang w:val="de-DE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</w:pPr>
      <w:r w:rsidRPr="00BD6737">
        <w:rPr>
          <w:rFonts w:ascii="Verdana" w:hAnsi="Verdana" w:cs="Verdana"/>
          <w:b/>
          <w:bCs/>
          <w:color w:val="000000"/>
          <w:sz w:val="28"/>
          <w:szCs w:val="28"/>
          <w:u w:color="000000"/>
          <w:lang w:val="de-DE"/>
        </w:rPr>
        <w:br w:type="page"/>
      </w:r>
      <w:r w:rsidRPr="00BD6737">
        <w:rPr>
          <w:rFonts w:ascii="Verdana" w:hAnsi="Verdana" w:cs="Verdana"/>
          <w:b/>
          <w:bCs/>
          <w:color w:val="000000"/>
          <w:sz w:val="28"/>
          <w:szCs w:val="28"/>
          <w:u w:color="000000"/>
        </w:rPr>
        <w:lastRenderedPageBreak/>
        <w:t>HL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Unit 4 Power, places and networks</w:t>
      </w:r>
    </w:p>
    <w:p w:rsidR="009264D2" w:rsidRPr="00BD6737" w:rsidRDefault="009264D2" w:rsidP="009264D2">
      <w:pPr>
        <w:numPr>
          <w:ilvl w:val="0"/>
          <w:numId w:val="28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Global interactions and global power</w:t>
      </w:r>
    </w:p>
    <w:p w:rsidR="009264D2" w:rsidRPr="00BD6737" w:rsidRDefault="009264D2" w:rsidP="009264D2">
      <w:pPr>
        <w:numPr>
          <w:ilvl w:val="1"/>
          <w:numId w:val="28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Detailed examples of at least two actual or potential global superpowers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USA and China </w:t>
      </w:r>
    </w:p>
    <w:p w:rsidR="009264D2" w:rsidRPr="00BD6737" w:rsidRDefault="009264D2" w:rsidP="009264D2">
      <w:pPr>
        <w:numPr>
          <w:ilvl w:val="1"/>
          <w:numId w:val="29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Powerful organizations and global groups: </w:t>
      </w:r>
    </w:p>
    <w:p w:rsidR="009264D2" w:rsidRPr="00BD6737" w:rsidRDefault="009264D2" w:rsidP="009264D2">
      <w:pPr>
        <w:numPr>
          <w:ilvl w:val="2"/>
          <w:numId w:val="29"/>
        </w:numPr>
        <w:tabs>
          <w:tab w:val="left" w:pos="720"/>
          <w:tab w:val="left" w:pos="1014"/>
        </w:tabs>
        <w:autoSpaceDE w:val="0"/>
        <w:autoSpaceDN w:val="0"/>
        <w:adjustRightInd w:val="0"/>
        <w:ind w:left="1014" w:hanging="1015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G7/8, G20 and Organization for Economic Cooperation and Development (OECD) groups </w:t>
      </w:r>
    </w:p>
    <w:p w:rsidR="009264D2" w:rsidRPr="00BD6737" w:rsidRDefault="009264D2" w:rsidP="009264D2">
      <w:pPr>
        <w:numPr>
          <w:ilvl w:val="2"/>
          <w:numId w:val="29"/>
        </w:numPr>
        <w:tabs>
          <w:tab w:val="left" w:pos="720"/>
          <w:tab w:val="left" w:pos="1014"/>
        </w:tabs>
        <w:autoSpaceDE w:val="0"/>
        <w:autoSpaceDN w:val="0"/>
        <w:adjustRightInd w:val="0"/>
        <w:ind w:left="1014" w:hanging="101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Organization of the Petroleum Exporting Countries’ (OPEC)</w:t>
      </w:r>
      <w:r w:rsidRPr="00BD6737">
        <w:rPr>
          <w:rFonts w:ascii="Verdana" w:hAnsi="Verdana" w:cs="Verdana"/>
          <w:iCs/>
          <w:color w:val="000000"/>
          <w:u w:color="000000"/>
        </w:rPr>
        <w:t xml:space="preserve"> influence over energy policies </w:t>
      </w:r>
    </w:p>
    <w:p w:rsidR="009264D2" w:rsidRPr="00BD6737" w:rsidRDefault="009264D2" w:rsidP="009264D2">
      <w:pPr>
        <w:numPr>
          <w:ilvl w:val="2"/>
          <w:numId w:val="29"/>
        </w:numPr>
        <w:tabs>
          <w:tab w:val="left" w:pos="720"/>
          <w:tab w:val="left" w:pos="1014"/>
        </w:tabs>
        <w:autoSpaceDE w:val="0"/>
        <w:autoSpaceDN w:val="0"/>
        <w:adjustRightInd w:val="0"/>
        <w:ind w:left="1014" w:hanging="101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global lending institutions, including the </w:t>
      </w:r>
      <w:r w:rsidRPr="00BD6737">
        <w:rPr>
          <w:rFonts w:ascii="Verdana" w:hAnsi="Verdana" w:cs="Verdana"/>
          <w:color w:val="000000"/>
          <w:u w:color="000000"/>
        </w:rPr>
        <w:t xml:space="preserve">International Monetary </w:t>
      </w:r>
      <w:r w:rsidRPr="00BD6737">
        <w:rPr>
          <w:rFonts w:ascii="Verdana" w:hAnsi="Verdana" w:cs="Verdana"/>
          <w:color w:val="FF0000"/>
          <w:u w:color="000000"/>
        </w:rPr>
        <w:t>Fund (IMF) and New Development Bank (NDB</w:t>
      </w:r>
      <w:r w:rsidRPr="00BD6737">
        <w:rPr>
          <w:rFonts w:ascii="Verdana" w:hAnsi="Verdana" w:cs="Verdana"/>
          <w:color w:val="000000"/>
          <w:u w:color="000000"/>
        </w:rPr>
        <w:t xml:space="preserve">) </w:t>
      </w:r>
    </w:p>
    <w:p w:rsidR="009264D2" w:rsidRPr="00BD6737" w:rsidRDefault="009264D2" w:rsidP="009264D2">
      <w:pPr>
        <w:numPr>
          <w:ilvl w:val="0"/>
          <w:numId w:val="29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Global networks and flows </w:t>
      </w:r>
    </w:p>
    <w:p w:rsidR="009264D2" w:rsidRPr="00BD6737" w:rsidRDefault="009264D2" w:rsidP="009264D2">
      <w:pPr>
        <w:numPr>
          <w:ilvl w:val="1"/>
          <w:numId w:val="29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Two contrasting detailed examples of TNCs and their global strategies and supply chains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 xml:space="preserve">Apple, Facebook and Mc </w:t>
      </w:r>
      <w:proofErr w:type="spellStart"/>
      <w:r w:rsidRPr="00BD6737">
        <w:rPr>
          <w:rFonts w:ascii="Verdana" w:hAnsi="Verdana" w:cs="Verdana"/>
          <w:color w:val="FF0000"/>
          <w:u w:color="000000"/>
        </w:rPr>
        <w:t>Donalds</w:t>
      </w:r>
      <w:proofErr w:type="spellEnd"/>
    </w:p>
    <w:p w:rsidR="009264D2" w:rsidRPr="00BD6737" w:rsidRDefault="009264D2" w:rsidP="009264D2">
      <w:pPr>
        <w:numPr>
          <w:ilvl w:val="0"/>
          <w:numId w:val="30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Human and physical influences on global interactions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31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Measuring globalization: Iceland vs Kenya (internet)</w:t>
      </w:r>
    </w:p>
    <w:p w:rsidR="009264D2" w:rsidRPr="00BD6737" w:rsidRDefault="009264D2" w:rsidP="009264D2">
      <w:pPr>
        <w:numPr>
          <w:ilvl w:val="2"/>
          <w:numId w:val="31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EU Trade bloc</w:t>
      </w:r>
    </w:p>
    <w:p w:rsidR="009264D2" w:rsidRPr="00BD6737" w:rsidRDefault="009264D2" w:rsidP="009264D2">
      <w:pPr>
        <w:numPr>
          <w:ilvl w:val="2"/>
          <w:numId w:val="31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NAFTA</w:t>
      </w:r>
    </w:p>
    <w:p w:rsidR="009264D2" w:rsidRPr="00BD6737" w:rsidRDefault="009264D2" w:rsidP="009264D2">
      <w:pPr>
        <w:numPr>
          <w:ilvl w:val="2"/>
          <w:numId w:val="31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Outsourcing Bangalore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t>Unit 5 Human development and diversity</w:t>
      </w:r>
    </w:p>
    <w:p w:rsidR="009264D2" w:rsidRPr="00BD6737" w:rsidRDefault="009264D2" w:rsidP="009264D2">
      <w:pPr>
        <w:numPr>
          <w:ilvl w:val="0"/>
          <w:numId w:val="32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Development opportunities </w:t>
      </w:r>
    </w:p>
    <w:p w:rsidR="009264D2" w:rsidRPr="00BD6737" w:rsidRDefault="009264D2" w:rsidP="009264D2">
      <w:pPr>
        <w:numPr>
          <w:ilvl w:val="1"/>
          <w:numId w:val="32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b/>
          <w:bCs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Detailed illustrative examples of affirmative action to close the development gap</w:t>
      </w:r>
      <w:r w:rsidRPr="00BD6737">
        <w:rPr>
          <w:rFonts w:ascii="Verdana" w:hAnsi="Verdana" w:cs="Verdana"/>
          <w:b/>
          <w:bCs/>
          <w:iCs/>
          <w:color w:val="000000"/>
          <w:u w:color="000000"/>
        </w:rPr>
        <w:t xml:space="preserve">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FF0000"/>
          <w:u w:color="000000"/>
        </w:rPr>
      </w:pPr>
      <w:r w:rsidRPr="00BD6737">
        <w:rPr>
          <w:rFonts w:ascii="Verdana" w:hAnsi="Verdana" w:cs="Verdana"/>
          <w:b/>
          <w:bCs/>
          <w:color w:val="FF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Sustainable development goals</w:t>
      </w:r>
    </w:p>
    <w:p w:rsidR="009264D2" w:rsidRPr="00BD6737" w:rsidRDefault="009264D2" w:rsidP="009264D2">
      <w:pPr>
        <w:numPr>
          <w:ilvl w:val="0"/>
          <w:numId w:val="33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Changing identities and cultures </w:t>
      </w:r>
    </w:p>
    <w:p w:rsidR="009264D2" w:rsidRPr="00BD6737" w:rsidRDefault="009264D2" w:rsidP="009264D2">
      <w:pPr>
        <w:numPr>
          <w:ilvl w:val="1"/>
          <w:numId w:val="33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Case study of a global diaspora population and its cultures(s)</w:t>
      </w:r>
    </w:p>
    <w:p w:rsidR="009264D2" w:rsidRPr="00BD6737" w:rsidRDefault="009264D2" w:rsidP="004466DD">
      <w:pPr>
        <w:autoSpaceDE w:val="0"/>
        <w:autoSpaceDN w:val="0"/>
        <w:adjustRightInd w:val="0"/>
        <w:ind w:left="654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China</w:t>
      </w:r>
      <w:r w:rsidR="004466DD" w:rsidRPr="00BD6737">
        <w:rPr>
          <w:rFonts w:ascii="Verdana" w:hAnsi="Verdana" w:cs="Verdana"/>
          <w:color w:val="FF0000"/>
          <w:u w:color="000000"/>
        </w:rPr>
        <w:t>/ Irish Diaspora/ German Diaspora in USA or South America</w:t>
      </w:r>
      <w:r w:rsidRPr="00BD6737">
        <w:rPr>
          <w:rFonts w:ascii="Verdana" w:hAnsi="Verdana" w:cs="Verdana"/>
          <w:color w:val="FF0000"/>
          <w:u w:color="000000"/>
        </w:rPr>
        <w:t xml:space="preserve"> </w:t>
      </w:r>
    </w:p>
    <w:p w:rsidR="009264D2" w:rsidRPr="00BD6737" w:rsidRDefault="009264D2" w:rsidP="009264D2">
      <w:pPr>
        <w:numPr>
          <w:ilvl w:val="0"/>
          <w:numId w:val="34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Local responses to global interactions </w:t>
      </w:r>
    </w:p>
    <w:p w:rsidR="009264D2" w:rsidRPr="00BD6737" w:rsidRDefault="009264D2" w:rsidP="009264D2">
      <w:pPr>
        <w:numPr>
          <w:ilvl w:val="1"/>
          <w:numId w:val="34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The role of civil society in promoting international-mindedness and participating in global interactions, including social media use and campaigning for internet freedom: Two detailed examples of places where restricted freedoms have been challenged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 xml:space="preserve">China (internet + social monitoring system),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 xml:space="preserve">France (religion)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ab/>
        <w:t>Saudi Arabia (women’s rights)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35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Female genital mutilation (FGM) in Sudan, Egypt and Somalia</w:t>
      </w:r>
    </w:p>
    <w:p w:rsidR="009264D2" w:rsidRPr="00BD6737" w:rsidRDefault="009264D2" w:rsidP="009264D2">
      <w:pPr>
        <w:numPr>
          <w:ilvl w:val="2"/>
          <w:numId w:val="35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Obstacles to migration: growth of the right wing, nationalist parties in Europe and Trump in the USA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u w:color="000000"/>
        </w:rPr>
      </w:pPr>
      <w:r w:rsidRPr="00BD6737">
        <w:rPr>
          <w:rFonts w:ascii="Verdana" w:hAnsi="Verdana" w:cs="Verdana"/>
          <w:b/>
          <w:bCs/>
          <w:color w:val="000000"/>
          <w:u w:color="000000"/>
        </w:rPr>
        <w:lastRenderedPageBreak/>
        <w:t>Unit 6 Global risks and resilience</w:t>
      </w:r>
    </w:p>
    <w:p w:rsidR="009264D2" w:rsidRPr="00BD6737" w:rsidRDefault="009264D2" w:rsidP="009264D2">
      <w:pPr>
        <w:numPr>
          <w:ilvl w:val="0"/>
          <w:numId w:val="36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Geopolitical and economic risks </w:t>
      </w:r>
    </w:p>
    <w:p w:rsidR="009264D2" w:rsidRPr="00BD6737" w:rsidRDefault="009264D2" w:rsidP="009264D2">
      <w:pPr>
        <w:numPr>
          <w:ilvl w:val="1"/>
          <w:numId w:val="36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The correlation between increased globalization and renewed nationalism/tribalization: Two detailed examples to illustrate geopolitical tension/conflict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ab/>
      </w:r>
      <w:r w:rsidRPr="00BD6737">
        <w:rPr>
          <w:rFonts w:ascii="Verdana" w:hAnsi="Verdana" w:cs="Verdana"/>
          <w:color w:val="FF0000"/>
          <w:u w:color="000000"/>
        </w:rPr>
        <w:t>USA China Trade War</w:t>
      </w:r>
    </w:p>
    <w:p w:rsidR="004466DD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ab/>
        <w:t>Brexit</w:t>
      </w:r>
    </w:p>
    <w:p w:rsidR="004466DD" w:rsidRPr="00BD6737" w:rsidRDefault="004466DD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 xml:space="preserve">        Global Financial Crisis 2009 </w:t>
      </w:r>
    </w:p>
    <w:p w:rsidR="009264D2" w:rsidRPr="00BD6737" w:rsidRDefault="009264D2" w:rsidP="009264D2">
      <w:pPr>
        <w:numPr>
          <w:ilvl w:val="0"/>
          <w:numId w:val="37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Environmental risks </w:t>
      </w:r>
    </w:p>
    <w:p w:rsidR="009264D2" w:rsidRPr="00BD6737" w:rsidRDefault="009264D2" w:rsidP="009264D2">
      <w:pPr>
        <w:numPr>
          <w:ilvl w:val="1"/>
          <w:numId w:val="37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>One TBP case study including the consequences and possible responses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Fukushima 2011</w:t>
      </w:r>
      <w:r w:rsidRPr="00BD6737">
        <w:rPr>
          <w:rFonts w:ascii="Verdana" w:hAnsi="Verdana" w:cs="Verdana"/>
          <w:color w:val="000000"/>
          <w:u w:color="000000"/>
        </w:rPr>
        <w:t xml:space="preserve">, Japan (supply chain disruptions)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Chernobyl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FF0000"/>
          <w:u w:color="000000"/>
        </w:rPr>
      </w:pPr>
      <w:r w:rsidRPr="00BD6737">
        <w:rPr>
          <w:rFonts w:ascii="Verdana" w:hAnsi="Verdana" w:cs="Verdana"/>
          <w:color w:val="FF0000"/>
          <w:u w:color="000000"/>
        </w:rPr>
        <w:t>Plastic Pollution + ocean gyres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</w:p>
    <w:p w:rsidR="009264D2" w:rsidRPr="00BD6737" w:rsidRDefault="009264D2" w:rsidP="009264D2">
      <w:pPr>
        <w:numPr>
          <w:ilvl w:val="0"/>
          <w:numId w:val="38"/>
        </w:numPr>
        <w:tabs>
          <w:tab w:val="left" w:pos="20"/>
          <w:tab w:val="left" w:pos="294"/>
        </w:tabs>
        <w:autoSpaceDE w:val="0"/>
        <w:autoSpaceDN w:val="0"/>
        <w:adjustRightInd w:val="0"/>
        <w:ind w:left="294" w:hanging="295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Local and global resilience</w:t>
      </w:r>
    </w:p>
    <w:p w:rsidR="009264D2" w:rsidRPr="00BD6737" w:rsidRDefault="009264D2" w:rsidP="009264D2">
      <w:pPr>
        <w:numPr>
          <w:ilvl w:val="1"/>
          <w:numId w:val="38"/>
        </w:numPr>
        <w:tabs>
          <w:tab w:val="left" w:pos="360"/>
          <w:tab w:val="left" w:pos="654"/>
        </w:tabs>
        <w:autoSpaceDE w:val="0"/>
        <w:autoSpaceDN w:val="0"/>
        <w:adjustRightInd w:val="0"/>
        <w:ind w:left="654" w:hanging="655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 xml:space="preserve"> Detailed examples of one environmental and one social civil society organization action attempting to raise awareness about, and find solutions for, environmental and social risks associated with global interactions 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u w:color="000000"/>
        </w:rPr>
      </w:pPr>
      <w:r w:rsidRPr="00BD6737">
        <w:rPr>
          <w:rFonts w:ascii="Verdana" w:hAnsi="Verdana" w:cs="Verdana"/>
          <w:iCs/>
          <w:color w:val="000000"/>
          <w:u w:color="000000"/>
        </w:rPr>
        <w:tab/>
      </w:r>
      <w:r w:rsidRPr="00BD6737">
        <w:rPr>
          <w:rFonts w:ascii="Verdana" w:hAnsi="Verdana" w:cs="Verdana"/>
          <w:iCs/>
          <w:color w:val="FF0000"/>
          <w:u w:color="000000"/>
        </w:rPr>
        <w:t>WWF and OXFAM</w:t>
      </w: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u w:color="000000"/>
        </w:rPr>
      </w:pPr>
    </w:p>
    <w:p w:rsidR="009264D2" w:rsidRPr="00BD6737" w:rsidRDefault="009264D2" w:rsidP="009264D2">
      <w:pPr>
        <w:autoSpaceDE w:val="0"/>
        <w:autoSpaceDN w:val="0"/>
        <w:adjustRightInd w:val="0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>Further Examples:</w:t>
      </w:r>
    </w:p>
    <w:p w:rsidR="009264D2" w:rsidRPr="00BD6737" w:rsidRDefault="009264D2" w:rsidP="009264D2">
      <w:pPr>
        <w:numPr>
          <w:ilvl w:val="2"/>
          <w:numId w:val="39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E-waste </w:t>
      </w:r>
      <w:r w:rsidRPr="00BD6737">
        <w:rPr>
          <w:rFonts w:ascii="Verdana" w:hAnsi="Verdana" w:cs="Verdana"/>
          <w:color w:val="FF0000"/>
          <w:u w:color="000000"/>
        </w:rPr>
        <w:t>Agbogbloshie</w:t>
      </w:r>
    </w:p>
    <w:p w:rsidR="009264D2" w:rsidRPr="00BD6737" w:rsidRDefault="009264D2" w:rsidP="009264D2">
      <w:pPr>
        <w:numPr>
          <w:ilvl w:val="2"/>
          <w:numId w:val="39"/>
        </w:numPr>
        <w:tabs>
          <w:tab w:val="left" w:pos="480"/>
          <w:tab w:val="left" w:pos="741"/>
        </w:tabs>
        <w:autoSpaceDE w:val="0"/>
        <w:autoSpaceDN w:val="0"/>
        <w:adjustRightInd w:val="0"/>
        <w:ind w:left="741" w:hanging="742"/>
        <w:rPr>
          <w:rFonts w:ascii="Verdana" w:hAnsi="Verdana" w:cs="Verdana"/>
          <w:color w:val="000000"/>
          <w:u w:color="000000"/>
        </w:rPr>
      </w:pPr>
      <w:r w:rsidRPr="00BD6737">
        <w:rPr>
          <w:rFonts w:ascii="Verdana" w:hAnsi="Verdana" w:cs="Verdana"/>
          <w:color w:val="000000"/>
          <w:u w:color="000000"/>
        </w:rPr>
        <w:t xml:space="preserve">Human trafficking </w:t>
      </w:r>
      <w:r w:rsidRPr="00BD6737">
        <w:rPr>
          <w:rFonts w:ascii="Verdana" w:hAnsi="Verdana" w:cs="Verdana"/>
          <w:color w:val="FF0000"/>
          <w:u w:color="000000"/>
        </w:rPr>
        <w:t xml:space="preserve">Toronto, Canada </w:t>
      </w:r>
      <w:r w:rsidRPr="00BD6737">
        <w:rPr>
          <w:rFonts w:ascii="Verdana" w:hAnsi="Verdana" w:cs="Verdana"/>
          <w:color w:val="000000"/>
          <w:u w:color="000000"/>
        </w:rPr>
        <w:t>(the role of Banks)</w:t>
      </w:r>
    </w:p>
    <w:p w:rsidR="00643F4B" w:rsidRPr="00BD6737" w:rsidRDefault="004466DD" w:rsidP="009264D2">
      <w:r w:rsidRPr="00BD6737">
        <w:rPr>
          <w:rFonts w:ascii="Verdana" w:hAnsi="Verdana" w:cs="Verdana"/>
          <w:color w:val="FF0000"/>
          <w:u w:color="000000"/>
        </w:rPr>
        <w:t xml:space="preserve">      </w:t>
      </w:r>
      <w:r w:rsidR="009264D2" w:rsidRPr="00BD6737">
        <w:rPr>
          <w:rFonts w:ascii="Verdana" w:hAnsi="Verdana" w:cs="Verdana"/>
          <w:color w:val="FF0000"/>
          <w:u w:color="000000"/>
        </w:rPr>
        <w:t xml:space="preserve">Apple re-shoring </w:t>
      </w:r>
      <w:r w:rsidR="009264D2" w:rsidRPr="00BD6737">
        <w:rPr>
          <w:rFonts w:ascii="Verdana" w:hAnsi="Verdana" w:cs="Verdana"/>
          <w:color w:val="000000"/>
          <w:u w:color="000000"/>
        </w:rPr>
        <w:t>of iPhone production</w:t>
      </w:r>
    </w:p>
    <w:sectPr w:rsidR="00643F4B" w:rsidRPr="00BD6737" w:rsidSect="009264D2">
      <w:headerReference w:type="default" r:id="rId7"/>
      <w:footerReference w:type="even" r:id="rId8"/>
      <w:footerReference w:type="default" r:id="rId9"/>
      <w:pgSz w:w="11900" w:h="16840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3481" w:rsidRDefault="006C3481" w:rsidP="009264D2">
      <w:r>
        <w:separator/>
      </w:r>
    </w:p>
  </w:endnote>
  <w:endnote w:type="continuationSeparator" w:id="0">
    <w:p w:rsidR="006C3481" w:rsidRDefault="006C3481" w:rsidP="00926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58212531"/>
      <w:docPartObj>
        <w:docPartGallery w:val="Page Numbers (Bottom of Page)"/>
        <w:docPartUnique/>
      </w:docPartObj>
    </w:sdtPr>
    <w:sdtContent>
      <w:p w:rsidR="009264D2" w:rsidRDefault="009264D2" w:rsidP="00982FF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264D2" w:rsidRDefault="009264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723643148"/>
      <w:docPartObj>
        <w:docPartGallery w:val="Page Numbers (Bottom of Page)"/>
        <w:docPartUnique/>
      </w:docPartObj>
    </w:sdtPr>
    <w:sdtContent>
      <w:p w:rsidR="009264D2" w:rsidRDefault="009264D2" w:rsidP="00982FF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9264D2" w:rsidRDefault="0092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3481" w:rsidRDefault="006C3481" w:rsidP="009264D2">
      <w:r>
        <w:separator/>
      </w:r>
    </w:p>
  </w:footnote>
  <w:footnote w:type="continuationSeparator" w:id="0">
    <w:p w:rsidR="006C3481" w:rsidRDefault="006C3481" w:rsidP="00926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737" w:rsidRDefault="00BD6737">
    <w:pPr>
      <w:pStyle w:val="Header"/>
    </w:pPr>
    <w:r w:rsidRPr="00BD6737">
      <w:rPr>
        <w:rFonts w:ascii="Verdana" w:hAnsi="Verdana" w:cs="Verdana"/>
        <w:b/>
        <w:bCs/>
        <w:color w:val="000000"/>
        <w:sz w:val="28"/>
        <w:szCs w:val="28"/>
        <w:u w:val="single" w:color="000000"/>
      </w:rPr>
      <w:drawing>
        <wp:anchor distT="0" distB="0" distL="114300" distR="114300" simplePos="0" relativeHeight="251659264" behindDoc="1" locked="0" layoutInCell="1" allowOverlap="1" wp14:anchorId="54D8072E" wp14:editId="7E9854F0">
          <wp:simplePos x="0" y="0"/>
          <wp:positionH relativeFrom="column">
            <wp:posOffset>3241040</wp:posOffset>
          </wp:positionH>
          <wp:positionV relativeFrom="paragraph">
            <wp:posOffset>-51435</wp:posOffset>
          </wp:positionV>
          <wp:extent cx="3050540" cy="607060"/>
          <wp:effectExtent l="0" t="0" r="0" b="2540"/>
          <wp:wrapTight wrapText="bothSides">
            <wp:wrapPolygon edited="0">
              <wp:start x="0" y="0"/>
              <wp:lineTo x="0" y="21238"/>
              <wp:lineTo x="21492" y="21238"/>
              <wp:lineTo x="2149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054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0000006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3"/>
      <w:numFmt w:val="decimal"/>
      <w:lvlText w:val="%1."/>
      <w:lvlJc w:val="left"/>
      <w:pPr>
        <w:ind w:left="720" w:hanging="360"/>
      </w:pPr>
    </w:lvl>
    <w:lvl w:ilvl="1" w:tplc="000000CA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4"/>
      <w:numFmt w:val="decimal"/>
      <w:lvlText w:val="%1."/>
      <w:lvlJc w:val="left"/>
      <w:pPr>
        <w:ind w:left="720" w:hanging="360"/>
      </w:pPr>
    </w:lvl>
    <w:lvl w:ilvl="1" w:tplc="0000012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4"/>
      <w:numFmt w:val="decimal"/>
      <w:lvlText w:val="%1."/>
      <w:lvlJc w:val="left"/>
      <w:pPr>
        <w:ind w:left="720" w:hanging="360"/>
      </w:pPr>
    </w:lvl>
    <w:lvl w:ilvl="1" w:tplc="00000192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4"/>
      <w:numFmt w:val="decimal"/>
      <w:lvlText w:val="%1."/>
      <w:lvlJc w:val="left"/>
      <w:pPr>
        <w:ind w:left="720" w:hanging="360"/>
      </w:pPr>
    </w:lvl>
    <w:lvl w:ilvl="1" w:tplc="000001F6">
      <w:start w:val="3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."/>
      <w:lvlJc w:val="left"/>
      <w:pPr>
        <w:ind w:left="720" w:hanging="360"/>
      </w:pPr>
    </w:lvl>
    <w:lvl w:ilvl="1" w:tplc="0000025A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000002BE">
      <w:start w:val="1"/>
      <w:numFmt w:val="bullet"/>
      <w:lvlText w:val="•"/>
      <w:lvlJc w:val="left"/>
      <w:pPr>
        <w:ind w:left="1440" w:hanging="360"/>
      </w:pPr>
    </w:lvl>
    <w:lvl w:ilvl="2" w:tplc="000002BF">
      <w:start w:val="1"/>
      <w:numFmt w:val="bullet"/>
      <w:lvlText w:val="•"/>
      <w:lvlJc w:val="left"/>
      <w:pPr>
        <w:ind w:left="2160" w:hanging="360"/>
      </w:pPr>
    </w:lvl>
    <w:lvl w:ilvl="3" w:tplc="000002C0">
      <w:start w:val="1"/>
      <w:numFmt w:val="bullet"/>
      <w:lvlText w:val="•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decimal"/>
      <w:lvlText w:val="%1."/>
      <w:lvlJc w:val="left"/>
      <w:pPr>
        <w:ind w:left="720" w:hanging="360"/>
      </w:pPr>
    </w:lvl>
    <w:lvl w:ilvl="1" w:tplc="0000038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3"/>
      <w:numFmt w:val="decimal"/>
      <w:lvlText w:val="%1."/>
      <w:lvlJc w:val="left"/>
      <w:pPr>
        <w:ind w:left="720" w:hanging="360"/>
      </w:pPr>
    </w:lvl>
    <w:lvl w:ilvl="1" w:tplc="000003EA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C"/>
    <w:multiLevelType w:val="hybridMultilevel"/>
    <w:tmpl w:val="0000000C"/>
    <w:lvl w:ilvl="0" w:tplc="0000044D">
      <w:start w:val="3"/>
      <w:numFmt w:val="decimal"/>
      <w:lvlText w:val="%1."/>
      <w:lvlJc w:val="left"/>
      <w:pPr>
        <w:ind w:left="720" w:hanging="360"/>
      </w:pPr>
    </w:lvl>
    <w:lvl w:ilvl="1" w:tplc="0000044E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D"/>
    <w:multiLevelType w:val="hybridMultilevel"/>
    <w:tmpl w:val="0000000D"/>
    <w:lvl w:ilvl="0" w:tplc="000004B1">
      <w:start w:val="3"/>
      <w:numFmt w:val="decimal"/>
      <w:lvlText w:val="%1."/>
      <w:lvlJc w:val="left"/>
      <w:pPr>
        <w:ind w:left="720" w:hanging="360"/>
      </w:pPr>
    </w:lvl>
    <w:lvl w:ilvl="1" w:tplc="000004B2">
      <w:start w:val="3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E"/>
    <w:multiLevelType w:val="hybridMultilevel"/>
    <w:tmpl w:val="0000000E"/>
    <w:lvl w:ilvl="0" w:tplc="00000515">
      <w:start w:val="4"/>
      <w:numFmt w:val="decimal"/>
      <w:lvlText w:val="%1."/>
      <w:lvlJc w:val="left"/>
      <w:pPr>
        <w:ind w:left="720" w:hanging="360"/>
      </w:pPr>
    </w:lvl>
    <w:lvl w:ilvl="1" w:tplc="0000051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F"/>
    <w:multiLevelType w:val="hybridMultilevel"/>
    <w:tmpl w:val="0000000F"/>
    <w:lvl w:ilvl="0" w:tplc="00000579">
      <w:start w:val="4"/>
      <w:numFmt w:val="decimal"/>
      <w:lvlText w:val="%1."/>
      <w:lvlJc w:val="left"/>
      <w:pPr>
        <w:ind w:left="720" w:hanging="360"/>
      </w:pPr>
    </w:lvl>
    <w:lvl w:ilvl="1" w:tplc="0000057A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000005DE">
      <w:start w:val="1"/>
      <w:numFmt w:val="bullet"/>
      <w:lvlText w:val="•"/>
      <w:lvlJc w:val="left"/>
      <w:pPr>
        <w:ind w:left="1440" w:hanging="360"/>
      </w:pPr>
    </w:lvl>
    <w:lvl w:ilvl="2" w:tplc="000005DF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11"/>
    <w:multiLevelType w:val="hybridMultilevel"/>
    <w:tmpl w:val="00000011"/>
    <w:lvl w:ilvl="0" w:tplc="00000641">
      <w:start w:val="1"/>
      <w:numFmt w:val="decimal"/>
      <w:lvlText w:val="%1."/>
      <w:lvlJc w:val="left"/>
      <w:pPr>
        <w:ind w:left="720" w:hanging="360"/>
      </w:pPr>
    </w:lvl>
    <w:lvl w:ilvl="1" w:tplc="0000064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2"/>
    <w:multiLevelType w:val="hybridMultilevel"/>
    <w:tmpl w:val="00000012"/>
    <w:lvl w:ilvl="0" w:tplc="000006A5">
      <w:start w:val="2"/>
      <w:numFmt w:val="decimal"/>
      <w:lvlText w:val="%1."/>
      <w:lvlJc w:val="left"/>
      <w:pPr>
        <w:ind w:left="720" w:hanging="360"/>
      </w:pPr>
    </w:lvl>
    <w:lvl w:ilvl="1" w:tplc="000006A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3"/>
    <w:multiLevelType w:val="hybridMultilevel"/>
    <w:tmpl w:val="00000013"/>
    <w:lvl w:ilvl="0" w:tplc="00000709">
      <w:start w:val="2"/>
      <w:numFmt w:val="decimal"/>
      <w:lvlText w:val="%1."/>
      <w:lvlJc w:val="left"/>
      <w:pPr>
        <w:ind w:left="720" w:hanging="360"/>
      </w:pPr>
    </w:lvl>
    <w:lvl w:ilvl="1" w:tplc="0000070A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4"/>
    <w:multiLevelType w:val="hybridMultilevel"/>
    <w:tmpl w:val="00000014"/>
    <w:lvl w:ilvl="0" w:tplc="0000076D">
      <w:start w:val="2"/>
      <w:numFmt w:val="decimal"/>
      <w:lvlText w:val="%1."/>
      <w:lvlJc w:val="left"/>
      <w:pPr>
        <w:ind w:left="720" w:hanging="360"/>
      </w:pPr>
    </w:lvl>
    <w:lvl w:ilvl="1" w:tplc="0000076E">
      <w:start w:val="3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0015"/>
    <w:multiLevelType w:val="hybridMultilevel"/>
    <w:tmpl w:val="00000015"/>
    <w:lvl w:ilvl="0" w:tplc="000007D1">
      <w:start w:val="3"/>
      <w:numFmt w:val="decimal"/>
      <w:lvlText w:val="%1."/>
      <w:lvlJc w:val="left"/>
      <w:pPr>
        <w:ind w:left="720" w:hanging="360"/>
      </w:pPr>
    </w:lvl>
    <w:lvl w:ilvl="1" w:tplc="000007D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0016"/>
    <w:multiLevelType w:val="hybridMultilevel"/>
    <w:tmpl w:val="00000016"/>
    <w:lvl w:ilvl="0" w:tplc="00000835">
      <w:start w:val="1"/>
      <w:numFmt w:val="bullet"/>
      <w:lvlText w:val="•"/>
      <w:lvlJc w:val="left"/>
      <w:pPr>
        <w:ind w:left="720" w:hanging="360"/>
      </w:pPr>
    </w:lvl>
    <w:lvl w:ilvl="1" w:tplc="00000836">
      <w:start w:val="1"/>
      <w:numFmt w:val="bullet"/>
      <w:lvlText w:val="•"/>
      <w:lvlJc w:val="left"/>
      <w:pPr>
        <w:ind w:left="1440" w:hanging="360"/>
      </w:pPr>
    </w:lvl>
    <w:lvl w:ilvl="2" w:tplc="00000837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0017"/>
    <w:multiLevelType w:val="hybridMultilevel"/>
    <w:tmpl w:val="00000017"/>
    <w:lvl w:ilvl="0" w:tplc="00000899">
      <w:start w:val="1"/>
      <w:numFmt w:val="decimal"/>
      <w:lvlText w:val="%1."/>
      <w:lvlJc w:val="left"/>
      <w:pPr>
        <w:ind w:left="720" w:hanging="360"/>
      </w:pPr>
    </w:lvl>
    <w:lvl w:ilvl="1" w:tplc="0000089A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0018"/>
    <w:multiLevelType w:val="hybridMultilevel"/>
    <w:tmpl w:val="00000018"/>
    <w:lvl w:ilvl="0" w:tplc="000008FD">
      <w:start w:val="3"/>
      <w:numFmt w:val="decimal"/>
      <w:lvlText w:val="%1."/>
      <w:lvlJc w:val="left"/>
      <w:pPr>
        <w:ind w:left="720" w:hanging="360"/>
      </w:pPr>
    </w:lvl>
    <w:lvl w:ilvl="1" w:tplc="000008FE">
      <w:start w:val="2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0019"/>
    <w:multiLevelType w:val="hybridMultilevel"/>
    <w:tmpl w:val="00000019"/>
    <w:lvl w:ilvl="0" w:tplc="00000961">
      <w:start w:val="1"/>
      <w:numFmt w:val="decimal"/>
      <w:lvlText w:val="%1."/>
      <w:lvlJc w:val="left"/>
      <w:pPr>
        <w:ind w:left="720" w:hanging="360"/>
      </w:pPr>
    </w:lvl>
    <w:lvl w:ilvl="1" w:tplc="0000096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001A"/>
    <w:multiLevelType w:val="hybridMultilevel"/>
    <w:tmpl w:val="0000001A"/>
    <w:lvl w:ilvl="0" w:tplc="000009C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000001B"/>
    <w:multiLevelType w:val="hybridMultilevel"/>
    <w:tmpl w:val="0000001B"/>
    <w:lvl w:ilvl="0" w:tplc="00000A29">
      <w:start w:val="1"/>
      <w:numFmt w:val="bullet"/>
      <w:lvlText w:val="•"/>
      <w:lvlJc w:val="left"/>
      <w:pPr>
        <w:ind w:left="720" w:hanging="360"/>
      </w:pPr>
    </w:lvl>
    <w:lvl w:ilvl="1" w:tplc="00000A2A">
      <w:start w:val="1"/>
      <w:numFmt w:val="bullet"/>
      <w:lvlText w:val="•"/>
      <w:lvlJc w:val="left"/>
      <w:pPr>
        <w:ind w:left="1440" w:hanging="360"/>
      </w:pPr>
    </w:lvl>
    <w:lvl w:ilvl="2" w:tplc="00000A2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001C"/>
    <w:multiLevelType w:val="hybridMultilevel"/>
    <w:tmpl w:val="0000001C"/>
    <w:lvl w:ilvl="0" w:tplc="00000A8D">
      <w:start w:val="1"/>
      <w:numFmt w:val="decimal"/>
      <w:lvlText w:val="%1."/>
      <w:lvlJc w:val="left"/>
      <w:pPr>
        <w:ind w:left="720" w:hanging="360"/>
      </w:pPr>
    </w:lvl>
    <w:lvl w:ilvl="1" w:tplc="00000A8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001D"/>
    <w:multiLevelType w:val="hybridMultilevel"/>
    <w:tmpl w:val="0000001D"/>
    <w:lvl w:ilvl="0" w:tplc="00000AF1">
      <w:start w:val="1"/>
      <w:numFmt w:val="decimal"/>
      <w:lvlText w:val="%1."/>
      <w:lvlJc w:val="left"/>
      <w:pPr>
        <w:ind w:left="720" w:hanging="360"/>
      </w:pPr>
    </w:lvl>
    <w:lvl w:ilvl="1" w:tplc="00000AF2">
      <w:start w:val="2"/>
      <w:numFmt w:val="decimal"/>
      <w:lvlText w:val="%2."/>
      <w:lvlJc w:val="left"/>
      <w:pPr>
        <w:ind w:left="1440" w:hanging="360"/>
      </w:pPr>
    </w:lvl>
    <w:lvl w:ilvl="2" w:tplc="00000AF3">
      <w:start w:val="1"/>
      <w:numFmt w:val="decimal"/>
      <w:lvlText w:val="%3.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001E"/>
    <w:multiLevelType w:val="hybridMultilevel"/>
    <w:tmpl w:val="0000001E"/>
    <w:lvl w:ilvl="0" w:tplc="00000B5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0000001F"/>
    <w:multiLevelType w:val="hybridMultilevel"/>
    <w:tmpl w:val="0000001F"/>
    <w:lvl w:ilvl="0" w:tplc="00000BB9">
      <w:start w:val="1"/>
      <w:numFmt w:val="bullet"/>
      <w:lvlText w:val="•"/>
      <w:lvlJc w:val="left"/>
      <w:pPr>
        <w:ind w:left="720" w:hanging="360"/>
      </w:pPr>
    </w:lvl>
    <w:lvl w:ilvl="1" w:tplc="00000BBA">
      <w:start w:val="1"/>
      <w:numFmt w:val="bullet"/>
      <w:lvlText w:val="•"/>
      <w:lvlJc w:val="left"/>
      <w:pPr>
        <w:ind w:left="1440" w:hanging="360"/>
      </w:pPr>
    </w:lvl>
    <w:lvl w:ilvl="2" w:tplc="00000BB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00000020"/>
    <w:multiLevelType w:val="hybridMultilevel"/>
    <w:tmpl w:val="00000020"/>
    <w:lvl w:ilvl="0" w:tplc="00000C1D">
      <w:start w:val="1"/>
      <w:numFmt w:val="decimal"/>
      <w:lvlText w:val="%1."/>
      <w:lvlJc w:val="left"/>
      <w:pPr>
        <w:ind w:left="720" w:hanging="360"/>
      </w:pPr>
    </w:lvl>
    <w:lvl w:ilvl="1" w:tplc="00000C1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00000021"/>
    <w:multiLevelType w:val="hybridMultilevel"/>
    <w:tmpl w:val="00000021"/>
    <w:lvl w:ilvl="0" w:tplc="00000C81">
      <w:start w:val="2"/>
      <w:numFmt w:val="decimal"/>
      <w:lvlText w:val="%1."/>
      <w:lvlJc w:val="left"/>
      <w:pPr>
        <w:ind w:left="720" w:hanging="360"/>
      </w:pPr>
    </w:lvl>
    <w:lvl w:ilvl="1" w:tplc="00000C8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00000022"/>
    <w:multiLevelType w:val="hybridMultilevel"/>
    <w:tmpl w:val="00000022"/>
    <w:lvl w:ilvl="0" w:tplc="00000CE5">
      <w:start w:val="3"/>
      <w:numFmt w:val="decimal"/>
      <w:lvlText w:val="%1."/>
      <w:lvlJc w:val="left"/>
      <w:pPr>
        <w:ind w:left="720" w:hanging="360"/>
      </w:pPr>
    </w:lvl>
    <w:lvl w:ilvl="1" w:tplc="00000CE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00000023"/>
    <w:multiLevelType w:val="hybridMultilevel"/>
    <w:tmpl w:val="00000023"/>
    <w:lvl w:ilvl="0" w:tplc="00000D49">
      <w:start w:val="1"/>
      <w:numFmt w:val="bullet"/>
      <w:lvlText w:val="•"/>
      <w:lvlJc w:val="left"/>
      <w:pPr>
        <w:ind w:left="720" w:hanging="360"/>
      </w:pPr>
    </w:lvl>
    <w:lvl w:ilvl="1" w:tplc="00000D4A">
      <w:start w:val="1"/>
      <w:numFmt w:val="bullet"/>
      <w:lvlText w:val="•"/>
      <w:lvlJc w:val="left"/>
      <w:pPr>
        <w:ind w:left="1440" w:hanging="360"/>
      </w:pPr>
    </w:lvl>
    <w:lvl w:ilvl="2" w:tplc="00000D4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0024"/>
    <w:multiLevelType w:val="hybridMultilevel"/>
    <w:tmpl w:val="00000024"/>
    <w:lvl w:ilvl="0" w:tplc="00000DAD">
      <w:start w:val="1"/>
      <w:numFmt w:val="decimal"/>
      <w:lvlText w:val="%1."/>
      <w:lvlJc w:val="left"/>
      <w:pPr>
        <w:ind w:left="720" w:hanging="360"/>
      </w:pPr>
    </w:lvl>
    <w:lvl w:ilvl="1" w:tplc="00000DAE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00000025"/>
    <w:multiLevelType w:val="hybridMultilevel"/>
    <w:tmpl w:val="00000025"/>
    <w:lvl w:ilvl="0" w:tplc="00000E11">
      <w:start w:val="2"/>
      <w:numFmt w:val="decimal"/>
      <w:lvlText w:val="%1."/>
      <w:lvlJc w:val="left"/>
      <w:pPr>
        <w:ind w:left="720" w:hanging="360"/>
      </w:pPr>
    </w:lvl>
    <w:lvl w:ilvl="1" w:tplc="00000E12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00000026"/>
    <w:multiLevelType w:val="hybridMultilevel"/>
    <w:tmpl w:val="00000026"/>
    <w:lvl w:ilvl="0" w:tplc="00000E75">
      <w:start w:val="3"/>
      <w:numFmt w:val="decimal"/>
      <w:lvlText w:val="%1."/>
      <w:lvlJc w:val="left"/>
      <w:pPr>
        <w:ind w:left="720" w:hanging="360"/>
      </w:pPr>
    </w:lvl>
    <w:lvl w:ilvl="1" w:tplc="00000E76">
      <w:start w:val="1"/>
      <w:numFmt w:val="decimal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00000027"/>
    <w:multiLevelType w:val="hybridMultilevel"/>
    <w:tmpl w:val="00000027"/>
    <w:lvl w:ilvl="0" w:tplc="00000ED9">
      <w:start w:val="1"/>
      <w:numFmt w:val="bullet"/>
      <w:lvlText w:val="•"/>
      <w:lvlJc w:val="left"/>
      <w:pPr>
        <w:ind w:left="720" w:hanging="360"/>
      </w:pPr>
    </w:lvl>
    <w:lvl w:ilvl="1" w:tplc="00000EDA">
      <w:start w:val="1"/>
      <w:numFmt w:val="bullet"/>
      <w:lvlText w:val="•"/>
      <w:lvlJc w:val="left"/>
      <w:pPr>
        <w:ind w:left="1440" w:hanging="360"/>
      </w:pPr>
    </w:lvl>
    <w:lvl w:ilvl="2" w:tplc="00000EDB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D2"/>
    <w:rsid w:val="000B5E82"/>
    <w:rsid w:val="004466DD"/>
    <w:rsid w:val="005955B6"/>
    <w:rsid w:val="00643F4B"/>
    <w:rsid w:val="006C3481"/>
    <w:rsid w:val="008B1F6A"/>
    <w:rsid w:val="008D32B2"/>
    <w:rsid w:val="009264D2"/>
    <w:rsid w:val="00992461"/>
    <w:rsid w:val="00BD6737"/>
    <w:rsid w:val="00EA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30F21C"/>
  <w15:chartTrackingRefBased/>
  <w15:docId w15:val="{CCFC6EC3-7EDF-7642-8D46-90FA13D91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64D2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4D2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9264D2"/>
  </w:style>
  <w:style w:type="character" w:styleId="Emphasis">
    <w:name w:val="Emphasis"/>
    <w:basedOn w:val="DefaultParagraphFont"/>
    <w:uiPriority w:val="20"/>
    <w:qFormat/>
    <w:rsid w:val="009264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73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737"/>
    <w:rPr>
      <w:rFonts w:ascii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673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73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7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Roberts</dc:creator>
  <cp:keywords/>
  <dc:description/>
  <cp:lastModifiedBy>Martin Roberts</cp:lastModifiedBy>
  <cp:revision>2</cp:revision>
  <dcterms:created xsi:type="dcterms:W3CDTF">2019-04-04T10:03:00Z</dcterms:created>
  <dcterms:modified xsi:type="dcterms:W3CDTF">2019-04-04T10:24:00Z</dcterms:modified>
</cp:coreProperties>
</file>